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401634</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Athens, GR, 26 Feb – 01 Mar</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performance requirements multi-Rx</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8.3.3</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last meeting, the discussion on performance part is triggered. Some initial discussion were held and the achievement were captured in [1] as below. In this paper, we provide our views on the performance requirements for multi-Rx.</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4-2: AoA selection in RRM test cases</w:t>
            </w:r>
          </w:p>
          <w:p>
            <w:pPr>
              <w:keepNext w:val="0"/>
              <w:keepLines w:val="0"/>
              <w:pageBreakBefore w:val="0"/>
              <w:kinsoku/>
              <w:wordWrap/>
              <w:overflowPunct/>
              <w:topLinePunct w:val="0"/>
              <w:autoSpaceDE/>
              <w:autoSpaceDN/>
              <w:bidi w:val="0"/>
              <w:adjustRightInd/>
              <w:snapToGrid/>
              <w:textAlignment w:val="auto"/>
              <w:rPr>
                <w:color w:val="000000" w:themeColor="text1"/>
                <w:szCs w:val="24"/>
                <w:lang w:eastAsia="zh-CN"/>
                <w14:textFill>
                  <w14:solidFill>
                    <w14:schemeClr w14:val="tx1"/>
                  </w14:solidFill>
                </w14:textFill>
              </w:rPr>
            </w:pPr>
            <w:r>
              <w:rPr>
                <w:color w:val="0070C0"/>
              </w:rPr>
              <w:t>&lt;Online agreement&gt;</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Companies to check the progress in FR2 OTA WI, and whether to define test cases for dual TCI state from dual TCI to dual TCI (e.g. [RS1, RS2] to [RS3, RS4]) is to be decided in RRM session.</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hint="eastAsia" w:eastAsia="宋体"/>
                <w:color w:val="auto"/>
                <w:sz w:val="20"/>
                <w:szCs w:val="20"/>
                <w:vertAlign w:val="baseline"/>
                <w:lang w:val="en-US" w:eastAsia="zh-CN"/>
              </w:rPr>
            </w:pPr>
            <w:r>
              <w:rPr>
                <w:rFonts w:eastAsia="宋体"/>
                <w:color w:val="000000" w:themeColor="text1"/>
                <w:szCs w:val="24"/>
                <w:lang w:eastAsia="zh-CN"/>
                <w14:textFill>
                  <w14:solidFill>
                    <w14:schemeClr w14:val="tx1"/>
                  </w14:solidFill>
                </w14:textFill>
              </w:rPr>
              <w:t>Note: The feasibility of the test with 4 active probles simulateously received by the same UE is pending on the discussion in FR2 OTA WI.</w:t>
            </w:r>
          </w:p>
        </w:tc>
      </w:tr>
    </w:tbl>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We discuss the performance part from the following aspects in this paper:</w:t>
      </w:r>
    </w:p>
    <w:p>
      <w:pPr>
        <w:pStyle w:val="8"/>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Test case design</w:t>
      </w:r>
    </w:p>
    <w:p>
      <w:pPr>
        <w:pStyle w:val="8"/>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Accuracy requirements</w:t>
      </w:r>
    </w:p>
    <w:p>
      <w:pPr>
        <w:pStyle w:val="3"/>
        <w:numPr>
          <w:ilvl w:val="0"/>
          <w:numId w:val="0"/>
        </w:numPr>
        <w:bidi w:val="0"/>
        <w:ind w:leftChars="0"/>
        <w:rPr>
          <w:rFonts w:hint="eastAsia"/>
          <w:lang w:val="en-US" w:eastAsia="zh-CN"/>
        </w:rPr>
      </w:pPr>
      <w:r>
        <w:rPr>
          <w:rFonts w:hint="eastAsia"/>
          <w:lang w:val="en-US" w:eastAsia="zh-CN"/>
        </w:rPr>
        <w:t>2.1 Test case design</w:t>
      </w:r>
    </w:p>
    <w:p>
      <w:pPr>
        <w:bidi w:val="0"/>
        <w:rPr>
          <w:u w:val="single"/>
          <w:lang w:eastAsia="ko-KR"/>
        </w:rPr>
      </w:pPr>
      <w:r>
        <w:rPr>
          <w:u w:val="single"/>
          <w:lang w:eastAsia="ko-KR"/>
        </w:rPr>
        <w:t>Whether to consider 4-layer MIMO in RRM test cases</w:t>
      </w:r>
    </w:p>
    <w:p>
      <w:pPr>
        <w:bidi w:val="0"/>
        <w:rPr>
          <w:rFonts w:hint="default" w:eastAsia="宋体"/>
          <w:color w:val="auto"/>
          <w:sz w:val="20"/>
          <w:szCs w:val="20"/>
          <w:lang w:val="en-US" w:eastAsia="zh-CN"/>
        </w:rPr>
      </w:pPr>
      <w:r>
        <w:rPr>
          <w:rFonts w:hint="eastAsia" w:eastAsia="宋体"/>
          <w:color w:val="auto"/>
          <w:sz w:val="20"/>
          <w:szCs w:val="20"/>
          <w:lang w:val="en-US" w:eastAsia="zh-CN"/>
        </w:rPr>
        <w:t>Even though 4-layer MIMO is the main object for this WID, which would benefit the throughput. While from the perspective of RRM, the performance of throughput is not the significant test target, it is better to evaluate this in demod session. Furthermore, it has been concluded in RF session that total 2 layers for both directions when defining the RF requirements. So in our view, the enhancement of 4-layer MIMO can be ignored in the RRM test regardless it is the main object for this WID. Furthermore, it can be tested in demod test.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4-layer MIMO is not considered in RRM test cases, it can be tested in demod test.</w:t>
      </w:r>
    </w:p>
    <w:p>
      <w:pPr>
        <w:bidi w:val="0"/>
        <w:rPr>
          <w:lang w:eastAsia="ko-KR"/>
        </w:rPr>
      </w:pPr>
    </w:p>
    <w:p>
      <w:pPr>
        <w:bidi w:val="0"/>
        <w:rPr>
          <w:u w:val="single"/>
          <w:lang w:eastAsia="ko-KR"/>
        </w:rPr>
      </w:pPr>
      <w:r>
        <w:rPr>
          <w:u w:val="single"/>
          <w:lang w:eastAsia="ko-KR"/>
        </w:rPr>
        <w:t>Test case(s) for fast beam sweeping</w:t>
      </w:r>
    </w:p>
    <w:p>
      <w:pPr>
        <w:bidi w:val="0"/>
        <w:rPr>
          <w:rFonts w:hint="default"/>
          <w:u w:val="single"/>
          <w:lang w:val="en-US" w:eastAsia="ko-KR"/>
        </w:rPr>
      </w:pPr>
      <w:r>
        <w:rPr>
          <w:rFonts w:hint="eastAsia" w:eastAsia="宋体"/>
          <w:color w:val="auto"/>
          <w:sz w:val="20"/>
          <w:szCs w:val="20"/>
          <w:lang w:val="en-US" w:eastAsia="zh-CN"/>
        </w:rPr>
        <w:t xml:space="preserve">The fast beam sweeping is an essential enhancement introduced in core part with optional UE capability for multi-Rx. While the condition of fast beam sweeping and whether it can be applicable in the GBBR/non-GBBR measurement is still discussed in core part. No matter in which L1 measurement procedure it can be applied, this enhancement should be tested. The possible L1 measurement includes GBBR L1-RSRP measurement, non-GBBR L1-RSRP measurement, RLM, BFD, CBD based on SSB.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Introduce test cases to verify the fast beam sweeping, the candidate test case including the SSB based GBBR L1-RSRP measurement, non-GBBR L1-RSRP measurement, RLM, BFD and CBD.</w:t>
      </w:r>
    </w:p>
    <w:p>
      <w:pPr>
        <w:bidi w:val="0"/>
        <w:rPr>
          <w:lang w:eastAsia="ko-KR"/>
        </w:rPr>
      </w:pPr>
    </w:p>
    <w:p>
      <w:pPr>
        <w:bidi w:val="0"/>
        <w:rPr>
          <w:u w:val="single"/>
          <w:lang w:eastAsia="ko-KR"/>
        </w:rPr>
      </w:pPr>
      <w:r>
        <w:rPr>
          <w:u w:val="single"/>
          <w:lang w:eastAsia="ko-KR"/>
        </w:rPr>
        <w:t>Test case(s) for scheduling</w:t>
      </w:r>
      <w:r>
        <w:rPr>
          <w:rFonts w:hint="eastAsia" w:eastAsia="宋体"/>
          <w:u w:val="single"/>
          <w:lang w:val="en-US" w:eastAsia="zh-CN"/>
        </w:rPr>
        <w:t>/measurement</w:t>
      </w:r>
      <w:r>
        <w:rPr>
          <w:u w:val="single"/>
          <w:lang w:eastAsia="ko-KR"/>
        </w:rPr>
        <w:t xml:space="preserve"> restriction</w:t>
      </w:r>
    </w:p>
    <w:p>
      <w:pPr>
        <w:bidi w:val="0"/>
        <w:rPr>
          <w:rFonts w:hint="eastAsia" w:eastAsia="宋体"/>
          <w:color w:val="auto"/>
          <w:sz w:val="20"/>
          <w:szCs w:val="20"/>
          <w:lang w:val="en-US" w:eastAsia="zh-CN"/>
        </w:rPr>
      </w:pPr>
      <w:r>
        <w:rPr>
          <w:rFonts w:hint="eastAsia" w:eastAsia="宋体"/>
          <w:color w:val="auto"/>
          <w:sz w:val="20"/>
          <w:szCs w:val="20"/>
          <w:lang w:val="en-US" w:eastAsia="zh-CN"/>
        </w:rPr>
        <w:t>The enhancement on scheduling/measurement restriction is agreed in core part discussion with the concrete applicability conditions. When the conditions are met, the scheduling/measurement restriction relaxation can be used to improve the throughput or reduce the measurement latency. So of course some test cases are necessary to verify the scheduling/measurement restriction relaxation when CSI-RS involved in L1 measurements.</w:t>
      </w:r>
    </w:p>
    <w:p>
      <w:pPr>
        <w:pStyle w:val="8"/>
        <w:tabs>
          <w:tab w:val="left" w:pos="226"/>
          <w:tab w:val="left" w:pos="284"/>
          <w:tab w:val="left" w:pos="5103"/>
        </w:tabs>
        <w:snapToGrid w:val="0"/>
        <w:spacing w:before="156" w:beforeLines="50"/>
        <w:rPr>
          <w:b/>
          <w:color w:val="000000" w:themeColor="text1"/>
          <w:u w:val="single"/>
          <w:lang w:eastAsia="ko-KR"/>
          <w14:textFill>
            <w14:solidFill>
              <w14:schemeClr w14:val="tx1"/>
            </w14:solidFill>
          </w14:textFill>
        </w:rPr>
      </w:pPr>
      <w:r>
        <w:rPr>
          <w:rFonts w:hint="eastAsia" w:eastAsia="宋体" w:cs="Times New Roman"/>
          <w:b/>
          <w:bCs/>
          <w:color w:val="auto"/>
          <w:sz w:val="20"/>
          <w:szCs w:val="20"/>
          <w:highlight w:val="none"/>
          <w:lang w:val="en-US" w:eastAsia="zh-CN" w:bidi="ar-SA"/>
        </w:rPr>
        <w:t>Proposal 3: Introduce test cases to verify the scheduling/measurement restriction relaxation when CSI-RS involved in the L1 measurements.</w:t>
      </w:r>
    </w:p>
    <w:p>
      <w:pPr>
        <w:pStyle w:val="3"/>
        <w:numPr>
          <w:ilvl w:val="0"/>
          <w:numId w:val="0"/>
        </w:numPr>
        <w:bidi w:val="0"/>
        <w:ind w:leftChars="0"/>
        <w:rPr>
          <w:rFonts w:hint="eastAsia"/>
          <w:lang w:val="en-US" w:eastAsia="zh-CN"/>
        </w:rPr>
      </w:pPr>
      <w:r>
        <w:rPr>
          <w:rFonts w:hint="eastAsia"/>
          <w:lang w:val="en-US" w:eastAsia="zh-CN"/>
        </w:rPr>
        <w:t>2.2 Accuracy requirements</w:t>
      </w:r>
    </w:p>
    <w:p>
      <w:pPr>
        <w:bidi w:val="0"/>
        <w:rPr>
          <w:rFonts w:hint="eastAsia" w:eastAsia="宋体"/>
          <w:color w:val="auto"/>
          <w:sz w:val="20"/>
          <w:szCs w:val="20"/>
          <w:lang w:val="en-US" w:eastAsia="zh-CN"/>
        </w:rPr>
      </w:pPr>
      <w:r>
        <w:rPr>
          <w:rFonts w:hint="eastAsia" w:eastAsia="宋体"/>
          <w:color w:val="auto"/>
          <w:sz w:val="20"/>
          <w:szCs w:val="20"/>
          <w:lang w:val="en-US" w:eastAsia="zh-CN"/>
        </w:rPr>
        <w:t>During the core part discussion, the accuracy requirement has been touched in previous meeting. The following agreements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line="240" w:lineRule="auto"/>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8"/>
              <w:keepNext w:val="0"/>
              <w:keepLines w:val="0"/>
              <w:pageBreakBefore w:val="0"/>
              <w:numPr>
                <w:ilvl w:val="0"/>
                <w:numId w:val="3"/>
              </w:numPr>
              <w:kinsoku/>
              <w:wordWrap/>
              <w:overflowPunct/>
              <w:topLinePunct w:val="0"/>
              <w:autoSpaceDE/>
              <w:autoSpaceDN/>
              <w:bidi w:val="0"/>
              <w:adjustRightInd/>
              <w:snapToGrid/>
              <w:spacing w:line="240" w:lineRule="auto"/>
              <w:ind w:firstLineChars="0"/>
              <w:textAlignment w:val="auto"/>
              <w:rPr>
                <w:rFonts w:hint="default" w:eastAsia="宋体"/>
                <w:color w:val="auto"/>
                <w:sz w:val="20"/>
                <w:szCs w:val="20"/>
                <w:vertAlign w:val="baseline"/>
                <w:lang w:val="en-US" w:eastAsia="zh-CN"/>
              </w:rPr>
            </w:pPr>
            <w:r>
              <w:rPr>
                <w:rFonts w:eastAsia="宋体"/>
                <w:color w:val="auto"/>
                <w:szCs w:val="24"/>
                <w:lang w:eastAsia="zh-CN"/>
              </w:rPr>
              <w:t>Enhanced RRM requirements for multi-Rx chain UE should maintain the existing accuracy requirements.</w:t>
            </w:r>
            <w:r>
              <w:rPr>
                <w:rFonts w:hint="eastAsia" w:eastAsia="宋体"/>
                <w:color w:val="auto"/>
                <w:szCs w:val="24"/>
                <w:lang w:val="en-US" w:eastAsia="zh-CN"/>
              </w:rPr>
              <w:t xml:space="preserve"> </w:t>
            </w:r>
          </w:p>
        </w:tc>
      </w:tr>
    </w:tbl>
    <w:p>
      <w:pPr>
        <w:bidi w:val="0"/>
        <w:rPr>
          <w:rFonts w:hint="eastAsia" w:eastAsia="宋体"/>
          <w:color w:val="auto"/>
          <w:sz w:val="20"/>
          <w:szCs w:val="20"/>
          <w:lang w:val="en-US" w:eastAsia="zh-CN"/>
        </w:rPr>
      </w:pPr>
      <w:r>
        <w:rPr>
          <w:rFonts w:hint="eastAsia" w:eastAsia="宋体"/>
          <w:color w:val="auto"/>
          <w:sz w:val="20"/>
          <w:szCs w:val="20"/>
          <w:lang w:val="en-US" w:eastAsia="zh-CN"/>
        </w:rPr>
        <w:t>Therefore straight reuse the existing accuracy requirements is fine. Some companies suggested to add the clarification that only FR2-1 is applicable, it is fine to us, it is approved that multi-Rx is only applicable for FR2-1.</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legacy accuracy requirements in section 10.1.20 of TS 38.133 apply for L1-RSRP measurements under multi-rx operation, with a clarification that multi-rx chain L1-RSRP accuracy requirements apply for FR2-1.</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RLM, BFD/CBD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4-layer MIMO is not considered in RRM test cases, it can be tested in demod test.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Introduce test cases to verify the fast beam sweeping, the candidate test case including the SSB based GBBR L1-RSRP measurement, non-GBBR L1-RSRP measurement, RLM, BFD and CBD.</w:t>
      </w:r>
    </w:p>
    <w:p>
      <w:pPr>
        <w:pStyle w:val="8"/>
        <w:tabs>
          <w:tab w:val="left" w:pos="226"/>
          <w:tab w:val="left" w:pos="284"/>
          <w:tab w:val="left" w:pos="5103"/>
        </w:tabs>
        <w:snapToGrid w:val="0"/>
        <w:spacing w:before="156" w:beforeLines="50"/>
        <w:rPr>
          <w:b/>
          <w:color w:val="000000" w:themeColor="text1"/>
          <w:u w:val="single"/>
          <w:lang w:eastAsia="ko-KR"/>
          <w14:textFill>
            <w14:solidFill>
              <w14:schemeClr w14:val="tx1"/>
            </w14:solidFill>
          </w14:textFill>
        </w:rPr>
      </w:pPr>
      <w:r>
        <w:rPr>
          <w:rFonts w:hint="eastAsia" w:eastAsia="宋体" w:cs="Times New Roman"/>
          <w:b/>
          <w:bCs/>
          <w:color w:val="auto"/>
          <w:sz w:val="20"/>
          <w:szCs w:val="20"/>
          <w:highlight w:val="none"/>
          <w:lang w:val="en-US" w:eastAsia="zh-CN" w:bidi="ar-SA"/>
        </w:rPr>
        <w:t>Proposal 3: Introduce test cases to verify the scheduling/measurement restriction relaxation when CSI-RS involved in the L1 measurements.</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legacy accuracy requirements in section 10.1.20 of TS 38.133 apply for L1-RSRP measurements under multi-rx operation, with a clarification that multi-rx chain L1-RSRP accuracy requirements apply for FR2-1.</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Chars="0"/>
        <w:rPr>
          <w:rFonts w:hint="eastAsia"/>
          <w:color w:val="auto"/>
          <w:highlight w:val="none"/>
          <w:lang w:val="en-US" w:eastAsia="zh-CN"/>
        </w:rPr>
      </w:pPr>
      <w:r>
        <w:rPr>
          <w:rFonts w:hint="eastAsia"/>
          <w:color w:val="auto"/>
          <w:highlight w:val="none"/>
          <w:lang w:val="en-US" w:eastAsia="zh-CN"/>
        </w:rPr>
        <w:t xml:space="preserve">R4-2317332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6"/>
        </w:numPr>
        <w:ind w:leftChars="0"/>
        <w:rPr>
          <w:rFonts w:hint="eastAsia"/>
          <w:color w:val="auto"/>
          <w:highlight w:val="none"/>
          <w:lang w:val="en-US" w:eastAsia="zh-CN"/>
        </w:rPr>
      </w:pPr>
      <w:r>
        <w:rPr>
          <w:rFonts w:hint="eastAsia"/>
          <w:color w:val="auto"/>
          <w:highlight w:val="none"/>
          <w:lang w:val="en-US" w:eastAsia="zh-CN"/>
        </w:rPr>
        <w:t xml:space="preserve">R4-2217246 </w:t>
      </w:r>
      <w:r>
        <w:rPr>
          <w:rFonts w:hint="default"/>
          <w:color w:val="auto"/>
          <w:highlight w:val="none"/>
          <w:lang w:val="en-US" w:eastAsia="zh-CN"/>
        </w:rPr>
        <w:t>“WF on RRM impacts and general aspects for multi-Rx”</w:t>
      </w:r>
      <w:r>
        <w:rPr>
          <w:rFonts w:hint="eastAsia"/>
          <w:color w:val="auto"/>
          <w:highlight w:val="none"/>
          <w:lang w:val="en-US" w:eastAsia="zh-CN"/>
        </w:rPr>
        <w:t>, vivo</w:t>
      </w: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D932D0A5"/>
    <w:multiLevelType w:val="singleLevel"/>
    <w:tmpl w:val="D932D0A5"/>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AB1C95"/>
    <w:rsid w:val="01F87456"/>
    <w:rsid w:val="02122247"/>
    <w:rsid w:val="02150C3F"/>
    <w:rsid w:val="022C3A09"/>
    <w:rsid w:val="028B6A1D"/>
    <w:rsid w:val="028F1C3E"/>
    <w:rsid w:val="037D0CB3"/>
    <w:rsid w:val="03AB21AA"/>
    <w:rsid w:val="03D4720A"/>
    <w:rsid w:val="03E04DEA"/>
    <w:rsid w:val="04151694"/>
    <w:rsid w:val="04654053"/>
    <w:rsid w:val="04793516"/>
    <w:rsid w:val="047A3CFF"/>
    <w:rsid w:val="04885243"/>
    <w:rsid w:val="05317828"/>
    <w:rsid w:val="05477E90"/>
    <w:rsid w:val="059B5F9B"/>
    <w:rsid w:val="05BB5AB9"/>
    <w:rsid w:val="05C42923"/>
    <w:rsid w:val="05F562DB"/>
    <w:rsid w:val="0611163E"/>
    <w:rsid w:val="064D7C1A"/>
    <w:rsid w:val="068411C2"/>
    <w:rsid w:val="06963BA6"/>
    <w:rsid w:val="06965F3C"/>
    <w:rsid w:val="07CD3CDD"/>
    <w:rsid w:val="084B363C"/>
    <w:rsid w:val="0855671D"/>
    <w:rsid w:val="086B0D4A"/>
    <w:rsid w:val="089009EB"/>
    <w:rsid w:val="09716BCA"/>
    <w:rsid w:val="098C1CEA"/>
    <w:rsid w:val="09902DFD"/>
    <w:rsid w:val="09D64B23"/>
    <w:rsid w:val="09E644B8"/>
    <w:rsid w:val="0B12013A"/>
    <w:rsid w:val="0B180D3D"/>
    <w:rsid w:val="0B1C5C6A"/>
    <w:rsid w:val="0B243EFB"/>
    <w:rsid w:val="0B3D3C2F"/>
    <w:rsid w:val="0B5D15B4"/>
    <w:rsid w:val="0B635839"/>
    <w:rsid w:val="0BAC06FA"/>
    <w:rsid w:val="0BB0429A"/>
    <w:rsid w:val="0BFF5FC6"/>
    <w:rsid w:val="0C276675"/>
    <w:rsid w:val="0C394019"/>
    <w:rsid w:val="0C5D15E1"/>
    <w:rsid w:val="0D2538B5"/>
    <w:rsid w:val="0E6576E8"/>
    <w:rsid w:val="0EC91588"/>
    <w:rsid w:val="0F6C0B73"/>
    <w:rsid w:val="0F8009F9"/>
    <w:rsid w:val="1093739F"/>
    <w:rsid w:val="10997F43"/>
    <w:rsid w:val="10DE7BAE"/>
    <w:rsid w:val="11023BFD"/>
    <w:rsid w:val="110404BB"/>
    <w:rsid w:val="111C20F6"/>
    <w:rsid w:val="11ED345F"/>
    <w:rsid w:val="11FC305B"/>
    <w:rsid w:val="120774A3"/>
    <w:rsid w:val="12580C13"/>
    <w:rsid w:val="130B3696"/>
    <w:rsid w:val="14006D19"/>
    <w:rsid w:val="1414436B"/>
    <w:rsid w:val="1481754F"/>
    <w:rsid w:val="148F5721"/>
    <w:rsid w:val="14AC57CD"/>
    <w:rsid w:val="14B14D17"/>
    <w:rsid w:val="14F02E19"/>
    <w:rsid w:val="15E1212F"/>
    <w:rsid w:val="15ED3E9B"/>
    <w:rsid w:val="15FD475B"/>
    <w:rsid w:val="164514BE"/>
    <w:rsid w:val="170F06AA"/>
    <w:rsid w:val="17225508"/>
    <w:rsid w:val="176C2D6D"/>
    <w:rsid w:val="180A6E32"/>
    <w:rsid w:val="183F2CD2"/>
    <w:rsid w:val="1856323E"/>
    <w:rsid w:val="18AF55E3"/>
    <w:rsid w:val="18B1519A"/>
    <w:rsid w:val="18CD0507"/>
    <w:rsid w:val="195D7D48"/>
    <w:rsid w:val="19852D03"/>
    <w:rsid w:val="19915A0D"/>
    <w:rsid w:val="19ED20B7"/>
    <w:rsid w:val="1A6F1A83"/>
    <w:rsid w:val="1AD01A1B"/>
    <w:rsid w:val="1B4C5221"/>
    <w:rsid w:val="1B61065A"/>
    <w:rsid w:val="1BBF3927"/>
    <w:rsid w:val="1C177B08"/>
    <w:rsid w:val="1C3861F8"/>
    <w:rsid w:val="1C9001C6"/>
    <w:rsid w:val="1CBA2101"/>
    <w:rsid w:val="1D0573D7"/>
    <w:rsid w:val="1D153DC4"/>
    <w:rsid w:val="1D223E0B"/>
    <w:rsid w:val="1D3A54CD"/>
    <w:rsid w:val="1DB321FB"/>
    <w:rsid w:val="1DF33EB1"/>
    <w:rsid w:val="1E132F88"/>
    <w:rsid w:val="1E2867E9"/>
    <w:rsid w:val="1E853F6F"/>
    <w:rsid w:val="1E9C7BCC"/>
    <w:rsid w:val="1EC8648D"/>
    <w:rsid w:val="1ECC1E3C"/>
    <w:rsid w:val="1F056338"/>
    <w:rsid w:val="1FAE57D9"/>
    <w:rsid w:val="1FFD4083"/>
    <w:rsid w:val="20122D1B"/>
    <w:rsid w:val="202F3D4C"/>
    <w:rsid w:val="20E2786E"/>
    <w:rsid w:val="21014C39"/>
    <w:rsid w:val="21045DF0"/>
    <w:rsid w:val="21244EB1"/>
    <w:rsid w:val="213964D8"/>
    <w:rsid w:val="21595D04"/>
    <w:rsid w:val="21835807"/>
    <w:rsid w:val="21F13629"/>
    <w:rsid w:val="2305377E"/>
    <w:rsid w:val="23184B10"/>
    <w:rsid w:val="231A76D5"/>
    <w:rsid w:val="23BE460D"/>
    <w:rsid w:val="24122135"/>
    <w:rsid w:val="24D4257E"/>
    <w:rsid w:val="24F5519F"/>
    <w:rsid w:val="2572202B"/>
    <w:rsid w:val="25762D04"/>
    <w:rsid w:val="25AE612B"/>
    <w:rsid w:val="2605683C"/>
    <w:rsid w:val="265F2C81"/>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D452F54"/>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4768A"/>
    <w:rsid w:val="358E5935"/>
    <w:rsid w:val="35B06C6A"/>
    <w:rsid w:val="36941AA2"/>
    <w:rsid w:val="36D37423"/>
    <w:rsid w:val="37323407"/>
    <w:rsid w:val="3792754D"/>
    <w:rsid w:val="379D23F9"/>
    <w:rsid w:val="37B3111D"/>
    <w:rsid w:val="37E74183"/>
    <w:rsid w:val="3A185287"/>
    <w:rsid w:val="3A1F46B8"/>
    <w:rsid w:val="3A692CD0"/>
    <w:rsid w:val="3AD96376"/>
    <w:rsid w:val="3B0B5FA6"/>
    <w:rsid w:val="3B1210C9"/>
    <w:rsid w:val="3B270929"/>
    <w:rsid w:val="3B3D5571"/>
    <w:rsid w:val="3B5D276F"/>
    <w:rsid w:val="3B673620"/>
    <w:rsid w:val="3B9A1F29"/>
    <w:rsid w:val="3BCF6377"/>
    <w:rsid w:val="3C6E1F42"/>
    <w:rsid w:val="3CB972C3"/>
    <w:rsid w:val="3CE4646B"/>
    <w:rsid w:val="3D5E7AA8"/>
    <w:rsid w:val="3D6F2596"/>
    <w:rsid w:val="3F5E503E"/>
    <w:rsid w:val="3F62033F"/>
    <w:rsid w:val="401A457A"/>
    <w:rsid w:val="405F175E"/>
    <w:rsid w:val="40737877"/>
    <w:rsid w:val="40A811A8"/>
    <w:rsid w:val="40C765F3"/>
    <w:rsid w:val="41C755BE"/>
    <w:rsid w:val="42424160"/>
    <w:rsid w:val="42B16B47"/>
    <w:rsid w:val="42EA1DDB"/>
    <w:rsid w:val="42F869D2"/>
    <w:rsid w:val="43553536"/>
    <w:rsid w:val="444E111A"/>
    <w:rsid w:val="44972678"/>
    <w:rsid w:val="44C465F8"/>
    <w:rsid w:val="451632B9"/>
    <w:rsid w:val="45906394"/>
    <w:rsid w:val="45D40A2F"/>
    <w:rsid w:val="45F60A50"/>
    <w:rsid w:val="46142D0C"/>
    <w:rsid w:val="463A5AC1"/>
    <w:rsid w:val="46970A81"/>
    <w:rsid w:val="46B036BF"/>
    <w:rsid w:val="47282363"/>
    <w:rsid w:val="476B3528"/>
    <w:rsid w:val="47C726B0"/>
    <w:rsid w:val="490A77CA"/>
    <w:rsid w:val="49DC4EAC"/>
    <w:rsid w:val="49E55BC5"/>
    <w:rsid w:val="4AAF3847"/>
    <w:rsid w:val="4AFE1D19"/>
    <w:rsid w:val="4C1C63D6"/>
    <w:rsid w:val="4C864A35"/>
    <w:rsid w:val="4CB4652D"/>
    <w:rsid w:val="4CFC7A6A"/>
    <w:rsid w:val="4E015C76"/>
    <w:rsid w:val="4E310026"/>
    <w:rsid w:val="4E3448DA"/>
    <w:rsid w:val="4E4A2325"/>
    <w:rsid w:val="4E702749"/>
    <w:rsid w:val="4EC85323"/>
    <w:rsid w:val="4EDB3464"/>
    <w:rsid w:val="4FD47992"/>
    <w:rsid w:val="501A6C55"/>
    <w:rsid w:val="51234069"/>
    <w:rsid w:val="51B14BED"/>
    <w:rsid w:val="52123F2A"/>
    <w:rsid w:val="52526454"/>
    <w:rsid w:val="525C1CEF"/>
    <w:rsid w:val="528B5767"/>
    <w:rsid w:val="52A77D4F"/>
    <w:rsid w:val="52D33625"/>
    <w:rsid w:val="52FD1C01"/>
    <w:rsid w:val="52FD33B4"/>
    <w:rsid w:val="536E37BE"/>
    <w:rsid w:val="5372021A"/>
    <w:rsid w:val="53A3105E"/>
    <w:rsid w:val="53C64B93"/>
    <w:rsid w:val="548A6C60"/>
    <w:rsid w:val="54AA3425"/>
    <w:rsid w:val="54E07F19"/>
    <w:rsid w:val="55570903"/>
    <w:rsid w:val="55B1164D"/>
    <w:rsid w:val="55B4735E"/>
    <w:rsid w:val="55BB221D"/>
    <w:rsid w:val="55DB1478"/>
    <w:rsid w:val="56371459"/>
    <w:rsid w:val="56484633"/>
    <w:rsid w:val="56C72241"/>
    <w:rsid w:val="574B3EB2"/>
    <w:rsid w:val="57995B9F"/>
    <w:rsid w:val="58D0053D"/>
    <w:rsid w:val="59064002"/>
    <w:rsid w:val="595006D6"/>
    <w:rsid w:val="598C40A0"/>
    <w:rsid w:val="59B61150"/>
    <w:rsid w:val="59DA647E"/>
    <w:rsid w:val="5A556E1A"/>
    <w:rsid w:val="5C1166E3"/>
    <w:rsid w:val="5C9303D3"/>
    <w:rsid w:val="5E2864D0"/>
    <w:rsid w:val="5E494511"/>
    <w:rsid w:val="5E7C620B"/>
    <w:rsid w:val="5EB44FC0"/>
    <w:rsid w:val="5EB81F13"/>
    <w:rsid w:val="5EDA64BC"/>
    <w:rsid w:val="5FBA395F"/>
    <w:rsid w:val="60B92183"/>
    <w:rsid w:val="60EC2CBA"/>
    <w:rsid w:val="60ED68FB"/>
    <w:rsid w:val="61333986"/>
    <w:rsid w:val="61661B78"/>
    <w:rsid w:val="61CC2D28"/>
    <w:rsid w:val="62966A9E"/>
    <w:rsid w:val="62DE3B93"/>
    <w:rsid w:val="630C63B9"/>
    <w:rsid w:val="63454F29"/>
    <w:rsid w:val="635902CD"/>
    <w:rsid w:val="642A3E76"/>
    <w:rsid w:val="645E1DDB"/>
    <w:rsid w:val="64706BBE"/>
    <w:rsid w:val="64994B22"/>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2764B6"/>
    <w:rsid w:val="6A5D78D5"/>
    <w:rsid w:val="6A85354A"/>
    <w:rsid w:val="6B16149A"/>
    <w:rsid w:val="6C8E0C06"/>
    <w:rsid w:val="6D566F0F"/>
    <w:rsid w:val="6D836F72"/>
    <w:rsid w:val="6D986E55"/>
    <w:rsid w:val="6DC2026F"/>
    <w:rsid w:val="6DDE3DAF"/>
    <w:rsid w:val="6E281030"/>
    <w:rsid w:val="6E2C7D5B"/>
    <w:rsid w:val="6E3241BE"/>
    <w:rsid w:val="6EB0655E"/>
    <w:rsid w:val="6EB97A9D"/>
    <w:rsid w:val="6EF10A90"/>
    <w:rsid w:val="6EF62474"/>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4BE645E"/>
    <w:rsid w:val="753811DE"/>
    <w:rsid w:val="7566040A"/>
    <w:rsid w:val="757733D9"/>
    <w:rsid w:val="75A7114C"/>
    <w:rsid w:val="75BE67D4"/>
    <w:rsid w:val="75C2004C"/>
    <w:rsid w:val="75C759C1"/>
    <w:rsid w:val="760F5DAE"/>
    <w:rsid w:val="762D64F3"/>
    <w:rsid w:val="767E7EFF"/>
    <w:rsid w:val="769550C6"/>
    <w:rsid w:val="76FA1DD9"/>
    <w:rsid w:val="775B4604"/>
    <w:rsid w:val="77C067C3"/>
    <w:rsid w:val="77EA64D7"/>
    <w:rsid w:val="78911E31"/>
    <w:rsid w:val="7922350F"/>
    <w:rsid w:val="792B5470"/>
    <w:rsid w:val="79762E65"/>
    <w:rsid w:val="79C637D8"/>
    <w:rsid w:val="79F762D6"/>
    <w:rsid w:val="7A9367CB"/>
    <w:rsid w:val="7AA10DE7"/>
    <w:rsid w:val="7AC34BA7"/>
    <w:rsid w:val="7AF22571"/>
    <w:rsid w:val="7B69224B"/>
    <w:rsid w:val="7BE80F25"/>
    <w:rsid w:val="7C1C35A7"/>
    <w:rsid w:val="7C45431D"/>
    <w:rsid w:val="7C91731B"/>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2024-02-19T10:00:02Z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EAF17918DD704348B61385A92D55832E</vt:lpwstr>
  </property>
</Properties>
</file>